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tblLayout w:type="fixed"/>
      </w:tblPr>
      <w:tblGrid>
        <w:gridCol w:w="5639"/>
        <w:gridCol w:w="4782"/>
      </w:tblGrid>
      <w:tr>
        <w:tc>
          <w:tcPr>
            <w:tcW w:type="dxa" w:w="5639"/>
            <w:shd w:fill="auto" w:val="clear"/>
          </w:tcPr>
          <w:p w14:paraId="01000000">
            <w:pPr>
              <w:ind/>
              <w:jc w:val="right"/>
              <w:rPr>
                <w:b w:val="1"/>
                <w:sz w:val="28"/>
              </w:rPr>
            </w:pPr>
          </w:p>
        </w:tc>
        <w:tc>
          <w:tcPr>
            <w:tcW w:type="dxa" w:w="4782"/>
            <w:shd w:fill="auto" w:val="clear"/>
          </w:tcPr>
          <w:p w14:paraId="02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ПРОДАВЦУ</w:t>
            </w:r>
          </w:p>
          <w:p w14:paraId="03000000">
            <w:pPr>
              <w:ind/>
              <w:jc w:val="center"/>
              <w:rPr>
                <w:b w:val="1"/>
                <w:sz w:val="28"/>
              </w:rPr>
            </w:pPr>
          </w:p>
        </w:tc>
      </w:tr>
      <w:tr>
        <w:tc>
          <w:tcPr>
            <w:tcW w:type="dxa" w:w="5639"/>
            <w:shd w:fill="auto" w:val="clear"/>
          </w:tcPr>
          <w:p w14:paraId="04000000">
            <w:pPr>
              <w:ind/>
              <w:jc w:val="right"/>
              <w:rPr>
                <w:b w:val="1"/>
                <w:sz w:val="28"/>
              </w:rPr>
            </w:pPr>
          </w:p>
        </w:tc>
        <w:tc>
          <w:tcPr>
            <w:tcW w:type="dxa" w:w="4782"/>
            <w:shd w:fill="auto" w:val="clear"/>
          </w:tcPr>
          <w:p w14:paraId="0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 </w:t>
            </w:r>
            <w:r>
              <w:rPr>
                <w:sz w:val="28"/>
              </w:rPr>
              <w:t xml:space="preserve">Территориальное управление Федерального агентства по управлению государственным имуществом в </w:t>
            </w:r>
            <w:r>
              <w:rPr>
                <w:sz w:val="28"/>
              </w:rPr>
              <w:t>Пермском крае</w:t>
            </w:r>
          </w:p>
          <w:p w14:paraId="06000000">
            <w:pPr>
              <w:ind/>
              <w:jc w:val="center"/>
              <w:rPr>
                <w:sz w:val="28"/>
              </w:rPr>
            </w:pPr>
          </w:p>
        </w:tc>
      </w:tr>
    </w:tbl>
    <w:p w14:paraId="07000000">
      <w:pPr>
        <w:ind/>
        <w:jc w:val="right"/>
        <w:rPr>
          <w:sz w:val="28"/>
        </w:rPr>
      </w:pPr>
    </w:p>
    <w:p w14:paraId="08000000">
      <w:pPr>
        <w:ind/>
        <w:jc w:val="center"/>
        <w:rPr>
          <w:b w:val="1"/>
          <w:sz w:val="28"/>
        </w:rPr>
      </w:pPr>
    </w:p>
    <w:p w14:paraId="09000000">
      <w:pPr>
        <w:ind/>
        <w:jc w:val="center"/>
        <w:rPr>
          <w:b w:val="1"/>
          <w:sz w:val="28"/>
        </w:rPr>
      </w:pPr>
    </w:p>
    <w:p w14:paraId="0A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ЗАЯВКА НА ПРИОБРЕТЕНИЕ ДРЕВЕСИНЫ</w:t>
      </w:r>
      <w:r>
        <w:rPr>
          <w:rStyle w:val="Style_2_ch"/>
          <w:b w:val="1"/>
          <w:sz w:val="28"/>
        </w:rPr>
        <w:footnoteReference w:id="1"/>
      </w:r>
    </w:p>
    <w:p w14:paraId="0B000000">
      <w:pPr>
        <w:ind/>
        <w:jc w:val="center"/>
        <w:rPr>
          <w:b w:val="1"/>
          <w:sz w:val="28"/>
        </w:rPr>
      </w:pPr>
    </w:p>
    <w:p w14:paraId="0C000000">
      <w:pPr>
        <w:ind/>
        <w:jc w:val="center"/>
        <w:rPr>
          <w:b w:val="1"/>
          <w:sz w:val="28"/>
        </w:rPr>
      </w:pPr>
    </w:p>
    <w:p w14:paraId="0D000000">
      <w:pPr>
        <w:ind/>
        <w:jc w:val="both"/>
        <w:rPr>
          <w:sz w:val="20"/>
        </w:rPr>
      </w:pPr>
      <w:r>
        <w:rPr>
          <w:sz w:val="20"/>
        </w:rPr>
        <w:t>(</w:t>
      </w:r>
      <w:r>
        <w:rPr>
          <w:b w:val="1"/>
          <w:sz w:val="20"/>
        </w:rPr>
        <w:t>полное</w:t>
      </w:r>
      <w:r>
        <w:rPr>
          <w:sz w:val="20"/>
        </w:rPr>
        <w:t xml:space="preserve"> наименование юридического лица или фамилия, имя, отчество и </w:t>
      </w:r>
      <w:r>
        <w:rPr>
          <w:b w:val="1"/>
          <w:sz w:val="20"/>
        </w:rPr>
        <w:t>паспортные данные физического лица</w:t>
      </w:r>
      <w:r>
        <w:rPr>
          <w:sz w:val="20"/>
        </w:rPr>
        <w:t>,</w:t>
      </w:r>
      <w:r>
        <w:rPr>
          <w:sz w:val="20"/>
        </w:rPr>
        <w:t xml:space="preserve"> </w:t>
      </w:r>
      <w:r>
        <w:rPr>
          <w:sz w:val="20"/>
        </w:rPr>
        <w:t>подающего зая</w:t>
      </w:r>
      <w:r>
        <w:rPr>
          <w:sz w:val="20"/>
        </w:rPr>
        <w:t>вку, для физ. лиц и ИП так же</w:t>
      </w:r>
      <w:r>
        <w:rPr>
          <w:sz w:val="20"/>
        </w:rPr>
        <w:t xml:space="preserve"> с</w:t>
      </w:r>
      <w:r>
        <w:rPr>
          <w:b w:val="1"/>
          <w:sz w:val="20"/>
        </w:rPr>
        <w:t>траховой номер индивидуального лицевого счёта (номер СНИЛС)</w:t>
      </w:r>
      <w:r>
        <w:rPr>
          <w:sz w:val="20"/>
        </w:rPr>
        <w:t>)</w:t>
      </w:r>
    </w:p>
    <w:p w14:paraId="0E000000">
      <w:pPr>
        <w:ind/>
        <w:jc w:val="both"/>
        <w:rPr>
          <w:sz w:val="20"/>
        </w:rPr>
      </w:pPr>
    </w:p>
    <w:tbl>
      <w:tblPr>
        <w:tblStyle w:val="Style_1"/>
        <w:tblW w:type="auto" w:w="0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single"/>
          <w:insideV w:color="000000" w:sz="4" w:val="single"/>
        </w:tblBorders>
        <w:tblLayout w:type="fixed"/>
      </w:tblPr>
      <w:tblGrid>
        <w:gridCol w:w="10421"/>
      </w:tblGrid>
      <w:tr>
        <w:tc>
          <w:tcPr>
            <w:tcW w:type="dxa" w:w="1042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shd w:fill="auto" w:val="clear"/>
          </w:tcPr>
          <w:p w14:paraId="0F000000">
            <w:pPr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1042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shd w:fill="auto" w:val="clear"/>
          </w:tcPr>
          <w:p w14:paraId="10000000">
            <w:pPr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10421"/>
            <w:tcBorders>
              <w:top w:color="000000" w:sz="4" w:val="nil"/>
              <w:left w:color="000000" w:sz="4" w:val="nil"/>
              <w:bottom w:color="000000" w:sz="4" w:val="single"/>
              <w:right w:color="000000" w:sz="4" w:val="nil"/>
            </w:tcBorders>
            <w:shd w:fill="auto" w:val="clear"/>
          </w:tcPr>
          <w:p w14:paraId="11000000">
            <w:pPr>
              <w:ind/>
              <w:jc w:val="both"/>
              <w:rPr>
                <w:sz w:val="28"/>
              </w:rPr>
            </w:pPr>
          </w:p>
        </w:tc>
      </w:tr>
    </w:tbl>
    <w:p w14:paraId="12000000">
      <w:pPr>
        <w:ind/>
        <w:jc w:val="both"/>
        <w:rPr>
          <w:sz w:val="28"/>
        </w:rPr>
      </w:pPr>
    </w:p>
    <w:p w14:paraId="13000000">
      <w:pPr>
        <w:ind/>
        <w:jc w:val="both"/>
        <w:rPr>
          <w:sz w:val="28"/>
        </w:rPr>
      </w:pPr>
      <w:r>
        <w:rPr>
          <w:sz w:val="28"/>
        </w:rPr>
        <w:t>далее именуемый Претендент, в лице</w:t>
      </w:r>
      <w:r>
        <w:rPr>
          <w:sz w:val="28"/>
        </w:rPr>
        <w:t xml:space="preserve"> ________________________________________</w:t>
      </w:r>
    </w:p>
    <w:p w14:paraId="14000000">
      <w:pPr>
        <w:ind/>
        <w:jc w:val="both"/>
        <w:rPr>
          <w:sz w:val="20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20"/>
        </w:rPr>
        <w:t>(фамилия, имя, отчество, должность)</w:t>
      </w:r>
    </w:p>
    <w:p w14:paraId="15000000">
      <w:pPr>
        <w:ind/>
        <w:jc w:val="both"/>
        <w:rPr>
          <w:sz w:val="28"/>
        </w:rPr>
      </w:pPr>
      <w:r>
        <w:rPr>
          <w:sz w:val="28"/>
        </w:rPr>
        <w:t>___________________________</w:t>
      </w:r>
      <w:r>
        <w:rPr>
          <w:sz w:val="28"/>
        </w:rPr>
        <w:t>_____________________________________________</w:t>
      </w:r>
      <w:r>
        <w:rPr>
          <w:sz w:val="28"/>
        </w:rPr>
        <w:br/>
      </w:r>
    </w:p>
    <w:p w14:paraId="16000000">
      <w:pPr>
        <w:ind/>
        <w:jc w:val="both"/>
        <w:rPr>
          <w:sz w:val="28"/>
        </w:rPr>
      </w:pPr>
      <w:r>
        <w:rPr>
          <w:sz w:val="28"/>
        </w:rPr>
        <w:t>действующего на основании</w:t>
      </w:r>
      <w:r>
        <w:rPr>
          <w:sz w:val="28"/>
        </w:rPr>
        <w:t xml:space="preserve"> _______________________________________________</w:t>
      </w:r>
    </w:p>
    <w:p w14:paraId="17000000">
      <w:pPr>
        <w:ind/>
        <w:jc w:val="both"/>
        <w:rPr>
          <w:sz w:val="20"/>
        </w:rPr>
      </w:pPr>
      <w:r>
        <w:rPr>
          <w:sz w:val="28"/>
        </w:rPr>
        <w:t xml:space="preserve">                                                             </w:t>
      </w:r>
      <w:r>
        <w:rPr>
          <w:sz w:val="20"/>
        </w:rPr>
        <w:t>(</w:t>
      </w:r>
      <w:r>
        <w:rPr>
          <w:sz w:val="20"/>
        </w:rPr>
        <w:t>наименование, дата и номер уполномочивающего документа</w:t>
      </w:r>
      <w:r>
        <w:rPr>
          <w:sz w:val="20"/>
        </w:rPr>
        <w:t>)</w:t>
      </w:r>
    </w:p>
    <w:p w14:paraId="18000000">
      <w:pPr>
        <w:ind/>
        <w:jc w:val="both"/>
        <w:rPr>
          <w:sz w:val="28"/>
        </w:rPr>
      </w:pPr>
    </w:p>
    <w:p w14:paraId="19000000">
      <w:pPr>
        <w:ind/>
        <w:jc w:val="both"/>
        <w:rPr>
          <w:sz w:val="28"/>
        </w:rPr>
      </w:pPr>
      <w:r>
        <w:rPr>
          <w:sz w:val="28"/>
        </w:rPr>
        <w:t>принимая решение о приобретении древесины, которая получена при использовании</w:t>
      </w:r>
      <w:r>
        <w:rPr>
          <w:sz w:val="28"/>
        </w:rPr>
        <w:t xml:space="preserve"> </w:t>
      </w:r>
      <w:r>
        <w:rPr>
          <w:sz w:val="28"/>
        </w:rPr>
        <w:t>лесов, расположенных на землях лесного фонда, в соответствии со статьями 43 – 46</w:t>
      </w:r>
      <w:r>
        <w:rPr>
          <w:sz w:val="28"/>
        </w:rPr>
        <w:t xml:space="preserve"> </w:t>
      </w:r>
      <w:r>
        <w:rPr>
          <w:sz w:val="28"/>
        </w:rPr>
        <w:t>Лесного кодекса Российской Федерации (федерального имущества):</w:t>
      </w:r>
    </w:p>
    <w:tbl>
      <w:tblPr>
        <w:tblStyle w:val="Style_1"/>
        <w:tblW w:type="auto" w:w="0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single"/>
          <w:insideV w:color="000000" w:sz="4" w:val="single"/>
        </w:tblBorders>
        <w:tblLayout w:type="fixed"/>
      </w:tblPr>
      <w:tblGrid>
        <w:gridCol w:w="10421"/>
      </w:tblGrid>
      <w:tr>
        <w:tc>
          <w:tcPr>
            <w:tcW w:type="dxa" w:w="1042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shd w:fill="auto" w:val="clear"/>
          </w:tcPr>
          <w:p w14:paraId="1A000000">
            <w:pPr>
              <w:ind/>
              <w:jc w:val="both"/>
              <w:rPr>
                <w:sz w:val="28"/>
              </w:rPr>
            </w:pPr>
          </w:p>
          <w:p w14:paraId="1B000000">
            <w:pPr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1042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shd w:fill="auto" w:val="clear"/>
          </w:tcPr>
          <w:p w14:paraId="1C000000">
            <w:pPr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10421"/>
            <w:tcBorders>
              <w:top w:color="000000" w:sz="4" w:val="nil"/>
              <w:left w:color="000000" w:sz="4" w:val="nil"/>
              <w:bottom w:color="000000" w:sz="4" w:val="single"/>
              <w:right w:color="000000" w:sz="4" w:val="nil"/>
            </w:tcBorders>
            <w:shd w:fill="auto" w:val="clear"/>
          </w:tcPr>
          <w:p w14:paraId="1D000000">
            <w:pPr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10421"/>
            <w:tcBorders>
              <w:top w:color="000000" w:sz="4" w:val="single"/>
              <w:left w:color="000000" w:sz="4" w:val="nil"/>
              <w:bottom w:color="000000" w:sz="4" w:val="single"/>
              <w:right w:color="000000" w:sz="4" w:val="nil"/>
            </w:tcBorders>
            <w:shd w:fill="auto" w:val="clear"/>
          </w:tcPr>
          <w:p w14:paraId="1E000000">
            <w:pPr>
              <w:ind/>
              <w:jc w:val="both"/>
              <w:rPr>
                <w:sz w:val="28"/>
              </w:rPr>
            </w:pPr>
          </w:p>
        </w:tc>
      </w:tr>
    </w:tbl>
    <w:p w14:paraId="1F000000">
      <w:pPr>
        <w:ind/>
        <w:jc w:val="center"/>
        <w:rPr>
          <w:sz w:val="20"/>
        </w:rPr>
      </w:pPr>
      <w:r>
        <w:rPr>
          <w:sz w:val="20"/>
        </w:rPr>
        <w:t xml:space="preserve"> (наименование имущества, его основные характеристики, цена и местонахождение)</w:t>
      </w:r>
    </w:p>
    <w:p w14:paraId="20000000">
      <w:pPr>
        <w:ind/>
        <w:jc w:val="both"/>
        <w:rPr>
          <w:b w:val="1"/>
          <w:sz w:val="28"/>
        </w:rPr>
      </w:pPr>
    </w:p>
    <w:p w14:paraId="21000000">
      <w:pPr>
        <w:ind/>
        <w:jc w:val="both"/>
        <w:rPr>
          <w:b w:val="1"/>
          <w:sz w:val="28"/>
        </w:rPr>
      </w:pPr>
      <w:r>
        <w:rPr>
          <w:b w:val="1"/>
          <w:sz w:val="28"/>
        </w:rPr>
        <w:t>обязуюсь:</w:t>
      </w:r>
    </w:p>
    <w:p w14:paraId="22000000">
      <w:pPr>
        <w:ind w:firstLine="708" w:left="0"/>
        <w:jc w:val="both"/>
        <w:rPr>
          <w:sz w:val="28"/>
        </w:rPr>
      </w:pPr>
      <w:r>
        <w:rPr>
          <w:sz w:val="28"/>
        </w:rPr>
        <w:t>1) соблюдать в соответствии с Правилами реализации древесины, которая получена</w:t>
      </w:r>
      <w:r>
        <w:rPr>
          <w:sz w:val="28"/>
        </w:rPr>
        <w:t xml:space="preserve"> </w:t>
      </w:r>
      <w:r>
        <w:rPr>
          <w:sz w:val="28"/>
        </w:rPr>
        <w:t>при использовании лесов, расположенных на землях лесного фонда, в соответствии со</w:t>
      </w:r>
      <w:r>
        <w:rPr>
          <w:sz w:val="28"/>
        </w:rPr>
        <w:t xml:space="preserve"> </w:t>
      </w:r>
      <w:r>
        <w:rPr>
          <w:sz w:val="28"/>
        </w:rPr>
        <w:t>статьями 43 – 46 Лесного кодекса Российской Федерации, утвержденными постановлением</w:t>
      </w:r>
      <w:r>
        <w:rPr>
          <w:sz w:val="28"/>
        </w:rPr>
        <w:t xml:space="preserve"> </w:t>
      </w:r>
      <w:r>
        <w:rPr>
          <w:sz w:val="28"/>
        </w:rPr>
        <w:t xml:space="preserve">Правительства Российской Федерации от 23 июля </w:t>
      </w:r>
      <w:r>
        <w:rPr>
          <w:sz w:val="28"/>
        </w:rPr>
        <w:t>2009 г</w:t>
      </w:r>
      <w:r>
        <w:rPr>
          <w:sz w:val="28"/>
        </w:rPr>
        <w:t>. № 604 условия перехода права</w:t>
      </w:r>
      <w:r>
        <w:rPr>
          <w:sz w:val="28"/>
        </w:rPr>
        <w:t xml:space="preserve"> </w:t>
      </w:r>
      <w:r>
        <w:rPr>
          <w:sz w:val="28"/>
        </w:rPr>
        <w:t xml:space="preserve">собственности на древесину только после </w:t>
      </w:r>
      <w:r>
        <w:rPr>
          <w:sz w:val="28"/>
        </w:rPr>
        <w:t xml:space="preserve">   </w:t>
      </w:r>
      <w:r>
        <w:rPr>
          <w:sz w:val="28"/>
        </w:rPr>
        <w:t>100 % оплаты стоимости и обязанность вывоза</w:t>
      </w:r>
      <w:r>
        <w:rPr>
          <w:sz w:val="28"/>
        </w:rPr>
        <w:t xml:space="preserve"> </w:t>
      </w:r>
      <w:r>
        <w:rPr>
          <w:sz w:val="28"/>
        </w:rPr>
        <w:t>приобретенной древесины в 30</w:t>
      </w:r>
      <w:r>
        <w:rPr>
          <w:sz w:val="28"/>
        </w:rPr>
        <w:t>-</w:t>
      </w:r>
      <w:r>
        <w:rPr>
          <w:sz w:val="28"/>
        </w:rPr>
        <w:t>дневный срок со дня подписания договора купли –</w:t>
      </w:r>
      <w:r>
        <w:rPr>
          <w:sz w:val="28"/>
        </w:rPr>
        <w:t xml:space="preserve"> </w:t>
      </w:r>
      <w:r>
        <w:rPr>
          <w:sz w:val="28"/>
        </w:rPr>
        <w:t>продажи;</w:t>
      </w:r>
    </w:p>
    <w:p w14:paraId="23000000">
      <w:pPr>
        <w:ind w:firstLine="708" w:left="0"/>
        <w:jc w:val="both"/>
        <w:rPr>
          <w:sz w:val="28"/>
        </w:rPr>
      </w:pPr>
      <w:r>
        <w:rPr>
          <w:sz w:val="28"/>
        </w:rPr>
        <w:t>2) в случае признания меня покупателем направить Продавцу в течение 5 рабочих</w:t>
      </w:r>
      <w:r>
        <w:rPr>
          <w:sz w:val="28"/>
        </w:rPr>
        <w:t xml:space="preserve"> </w:t>
      </w:r>
      <w:r>
        <w:rPr>
          <w:sz w:val="28"/>
        </w:rPr>
        <w:t>дней со дня уведомления о признании покупателем подписанный проект договора купли-продажи древесины, и после получения от продавца подписанного договора купли-продажи древесины произвести 100 % оплату стоимости имущества в сроки и на счет,</w:t>
      </w:r>
      <w:r>
        <w:rPr>
          <w:sz w:val="28"/>
        </w:rPr>
        <w:t xml:space="preserve"> </w:t>
      </w:r>
      <w:r>
        <w:rPr>
          <w:sz w:val="28"/>
        </w:rPr>
        <w:t>определяемые договором купли-продажи.</w:t>
      </w:r>
    </w:p>
    <w:p w14:paraId="24000000">
      <w:pPr>
        <w:ind w:firstLine="708" w:left="0"/>
        <w:jc w:val="both"/>
        <w:rPr>
          <w:sz w:val="28"/>
        </w:rPr>
      </w:pPr>
      <w:r>
        <w:rPr>
          <w:sz w:val="28"/>
        </w:rPr>
        <w:t>Адрес и банковские реквизиты Претендента (в том числе почтовый адрес</w:t>
      </w:r>
      <w:r>
        <w:rPr>
          <w:sz w:val="28"/>
        </w:rPr>
        <w:t xml:space="preserve"> (</w:t>
      </w:r>
      <w:r>
        <w:rPr>
          <w:b w:val="1"/>
          <w:sz w:val="28"/>
        </w:rPr>
        <w:t>и адрес электронной почты</w:t>
      </w:r>
      <w:r>
        <w:rPr>
          <w:sz w:val="28"/>
        </w:rPr>
        <w:t>)</w:t>
      </w:r>
      <w:r>
        <w:rPr>
          <w:sz w:val="28"/>
        </w:rPr>
        <w:t xml:space="preserve"> для</w:t>
      </w:r>
      <w:r>
        <w:rPr>
          <w:sz w:val="28"/>
        </w:rPr>
        <w:t xml:space="preserve"> </w:t>
      </w:r>
      <w:r>
        <w:rPr>
          <w:sz w:val="28"/>
        </w:rPr>
        <w:t>высылки уведомлений о результатах рассмотрения предоставленной Продавцу заявки),</w:t>
      </w:r>
      <w:r>
        <w:rPr>
          <w:sz w:val="28"/>
        </w:rPr>
        <w:t xml:space="preserve"> </w:t>
      </w:r>
      <w:r>
        <w:rPr>
          <w:sz w:val="28"/>
        </w:rPr>
        <w:t xml:space="preserve">для физ. лиц и ИП так же </w:t>
      </w:r>
      <w:r>
        <w:rPr>
          <w:b w:val="1"/>
          <w:sz w:val="28"/>
        </w:rPr>
        <w:t>страховой номер индивидуального лицевого счёта (номер СНИЛС)</w:t>
      </w:r>
      <w:r>
        <w:rPr>
          <w:sz w:val="28"/>
        </w:rPr>
        <w:t>:</w:t>
      </w:r>
    </w:p>
    <w:p w14:paraId="25000000">
      <w:pPr>
        <w:ind/>
        <w:jc w:val="both"/>
        <w:rPr>
          <w:sz w:val="28"/>
        </w:rPr>
      </w:pPr>
    </w:p>
    <w:tbl>
      <w:tblPr>
        <w:tblStyle w:val="Style_1"/>
        <w:tblW w:type="auto" w:w="0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single"/>
          <w:insideV w:color="000000" w:sz="4" w:val="single"/>
        </w:tblBorders>
        <w:tblLayout w:type="fixed"/>
      </w:tblPr>
      <w:tblGrid>
        <w:gridCol w:w="10421"/>
      </w:tblGrid>
      <w:tr>
        <w:tc>
          <w:tcPr>
            <w:tcW w:type="dxa" w:w="1042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shd w:fill="auto" w:val="clear"/>
          </w:tcPr>
          <w:p w14:paraId="26000000">
            <w:pPr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1042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shd w:fill="auto" w:val="clear"/>
          </w:tcPr>
          <w:p w14:paraId="27000000">
            <w:pPr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1042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shd w:fill="auto" w:val="clear"/>
          </w:tcPr>
          <w:p w14:paraId="28000000">
            <w:pPr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1042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shd w:fill="auto" w:val="clear"/>
          </w:tcPr>
          <w:p w14:paraId="29000000">
            <w:pPr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1042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shd w:fill="auto" w:val="clear"/>
          </w:tcPr>
          <w:p w14:paraId="2A000000">
            <w:pPr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10421"/>
            <w:tcBorders>
              <w:top w:color="000000" w:sz="4" w:val="nil"/>
              <w:left w:color="000000" w:sz="4" w:val="nil"/>
              <w:bottom w:color="000000" w:sz="4" w:val="single"/>
              <w:right w:color="000000" w:sz="4" w:val="nil"/>
            </w:tcBorders>
            <w:shd w:fill="auto" w:val="clear"/>
          </w:tcPr>
          <w:p w14:paraId="2B000000">
            <w:pPr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10421"/>
            <w:tcBorders>
              <w:top w:color="000000" w:sz="4" w:val="single"/>
              <w:left w:color="000000" w:sz="4" w:val="nil"/>
              <w:bottom w:color="000000" w:sz="4" w:val="single"/>
              <w:right w:color="000000" w:sz="4" w:val="nil"/>
            </w:tcBorders>
            <w:shd w:fill="auto" w:val="clear"/>
          </w:tcPr>
          <w:p w14:paraId="2C000000">
            <w:pPr>
              <w:ind/>
              <w:jc w:val="both"/>
              <w:rPr>
                <w:sz w:val="28"/>
              </w:rPr>
            </w:pPr>
          </w:p>
        </w:tc>
      </w:tr>
    </w:tbl>
    <w:p w14:paraId="2D000000">
      <w:pPr>
        <w:ind/>
        <w:jc w:val="both"/>
        <w:rPr>
          <w:sz w:val="28"/>
        </w:rPr>
      </w:pPr>
    </w:p>
    <w:p w14:paraId="2E000000">
      <w:pPr>
        <w:ind/>
        <w:jc w:val="both"/>
        <w:rPr>
          <w:sz w:val="28"/>
        </w:rPr>
      </w:pPr>
      <w:r>
        <w:rPr>
          <w:sz w:val="28"/>
        </w:rPr>
        <w:t>Подпись Претендента</w:t>
      </w:r>
    </w:p>
    <w:p w14:paraId="2F000000">
      <w:pPr>
        <w:ind/>
        <w:jc w:val="both"/>
        <w:rPr>
          <w:sz w:val="28"/>
        </w:rPr>
      </w:pPr>
      <w:r>
        <w:rPr>
          <w:sz w:val="20"/>
        </w:rPr>
        <w:t>(либо его полномочного представителя)</w:t>
      </w:r>
      <w:r>
        <w:rPr>
          <w:sz w:val="28"/>
        </w:rPr>
        <w:t xml:space="preserve"> ________________________</w:t>
      </w:r>
      <w:r>
        <w:rPr>
          <w:sz w:val="28"/>
        </w:rPr>
        <w:t>(</w:t>
      </w:r>
      <w:r>
        <w:rPr>
          <w:sz w:val="28"/>
        </w:rPr>
        <w:t>______________________</w:t>
      </w:r>
      <w:r>
        <w:rPr>
          <w:sz w:val="28"/>
        </w:rPr>
        <w:t xml:space="preserve"> )</w:t>
      </w:r>
    </w:p>
    <w:p w14:paraId="30000000">
      <w:pPr>
        <w:ind/>
        <w:jc w:val="both"/>
        <w:rPr>
          <w:sz w:val="20"/>
        </w:rPr>
      </w:pPr>
      <w:r>
        <w:t xml:space="preserve">                                                                                                          </w:t>
      </w:r>
      <w:r>
        <w:t xml:space="preserve">                             </w:t>
      </w:r>
      <w:r>
        <w:t xml:space="preserve">    </w:t>
      </w:r>
      <w:r>
        <w:t>(</w:t>
      </w:r>
      <w:r>
        <w:rPr>
          <w:sz w:val="20"/>
        </w:rPr>
        <w:t>ФИО</w:t>
      </w:r>
      <w:r>
        <w:rPr>
          <w:sz w:val="20"/>
        </w:rPr>
        <w:t>)</w:t>
      </w:r>
    </w:p>
    <w:p w14:paraId="31000000">
      <w:pPr>
        <w:ind/>
        <w:jc w:val="both"/>
        <w:rPr>
          <w:sz w:val="20"/>
        </w:rPr>
      </w:pPr>
    </w:p>
    <w:p w14:paraId="32000000">
      <w:pPr>
        <w:ind/>
        <w:jc w:val="both"/>
        <w:rPr>
          <w:sz w:val="28"/>
        </w:rPr>
      </w:pPr>
      <w:r>
        <w:rPr>
          <w:sz w:val="28"/>
        </w:rPr>
        <w:t xml:space="preserve">М.П. </w:t>
      </w:r>
      <w:r>
        <w:rPr>
          <w:sz w:val="28"/>
        </w:rPr>
        <w:t xml:space="preserve">                                                                                   </w:t>
      </w:r>
      <w:r>
        <w:rPr>
          <w:sz w:val="28"/>
        </w:rPr>
        <w:t>“</w:t>
      </w:r>
      <w:r>
        <w:rPr>
          <w:sz w:val="28"/>
        </w:rPr>
        <w:t>____</w:t>
      </w:r>
      <w:r>
        <w:rPr>
          <w:sz w:val="28"/>
        </w:rPr>
        <w:t xml:space="preserve"> ” </w:t>
      </w:r>
      <w:r>
        <w:rPr>
          <w:sz w:val="28"/>
        </w:rPr>
        <w:t>______________</w:t>
      </w:r>
      <w:r>
        <w:rPr>
          <w:sz w:val="28"/>
        </w:rPr>
        <w:t>20</w:t>
      </w:r>
      <w:r>
        <w:rPr>
          <w:sz w:val="28"/>
        </w:rPr>
        <w:t>__</w:t>
      </w:r>
      <w:r>
        <w:rPr>
          <w:sz w:val="28"/>
        </w:rPr>
        <w:t xml:space="preserve"> г.</w:t>
      </w:r>
    </w:p>
    <w:p w14:paraId="33000000">
      <w:pPr>
        <w:ind/>
        <w:jc w:val="both"/>
        <w:rPr>
          <w:b w:val="1"/>
          <w:sz w:val="28"/>
        </w:rPr>
      </w:pPr>
    </w:p>
    <w:p w14:paraId="34000000">
      <w:pPr>
        <w:ind/>
        <w:jc w:val="both"/>
        <w:rPr>
          <w:b w:val="1"/>
          <w:sz w:val="28"/>
        </w:rPr>
      </w:pPr>
    </w:p>
    <w:p w14:paraId="35000000">
      <w:pPr>
        <w:ind/>
        <w:jc w:val="both"/>
        <w:rPr>
          <w:b w:val="1"/>
          <w:sz w:val="28"/>
        </w:rPr>
      </w:pPr>
    </w:p>
    <w:p w14:paraId="36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Заявка принята Продавцом:</w:t>
      </w:r>
    </w:p>
    <w:p w14:paraId="37000000">
      <w:pPr>
        <w:ind/>
        <w:jc w:val="both"/>
        <w:rPr>
          <w:b w:val="1"/>
          <w:sz w:val="28"/>
        </w:rPr>
      </w:pPr>
      <w:r>
        <w:rPr>
          <w:b w:val="1"/>
          <w:sz w:val="28"/>
        </w:rPr>
        <w:t>________</w:t>
      </w:r>
      <w:r>
        <w:rPr>
          <w:b w:val="1"/>
          <w:sz w:val="28"/>
        </w:rPr>
        <w:t xml:space="preserve">ч. </w:t>
      </w:r>
      <w:r>
        <w:rPr>
          <w:b w:val="1"/>
          <w:sz w:val="28"/>
        </w:rPr>
        <w:t>________</w:t>
      </w:r>
      <w:r>
        <w:rPr>
          <w:b w:val="1"/>
          <w:sz w:val="28"/>
        </w:rPr>
        <w:t>мин. “</w:t>
      </w:r>
      <w:r>
        <w:rPr>
          <w:b w:val="1"/>
          <w:sz w:val="28"/>
        </w:rPr>
        <w:t>______</w:t>
      </w:r>
      <w:r>
        <w:rPr>
          <w:b w:val="1"/>
          <w:sz w:val="28"/>
        </w:rPr>
        <w:t xml:space="preserve"> ”</w:t>
      </w:r>
      <w:r>
        <w:rPr>
          <w:b w:val="1"/>
          <w:sz w:val="28"/>
        </w:rPr>
        <w:t xml:space="preserve"> ________________</w:t>
      </w:r>
      <w:r>
        <w:rPr>
          <w:b w:val="1"/>
          <w:sz w:val="28"/>
        </w:rPr>
        <w:t xml:space="preserve"> 20</w:t>
      </w:r>
      <w:r>
        <w:rPr>
          <w:b w:val="1"/>
          <w:sz w:val="28"/>
        </w:rPr>
        <w:t>___</w:t>
      </w:r>
      <w:r>
        <w:rPr>
          <w:b w:val="1"/>
          <w:sz w:val="28"/>
        </w:rPr>
        <w:t xml:space="preserve"> г. за №</w:t>
      </w:r>
      <w:r>
        <w:rPr>
          <w:b w:val="1"/>
          <w:sz w:val="28"/>
        </w:rPr>
        <w:t xml:space="preserve"> _____</w:t>
      </w:r>
    </w:p>
    <w:p w14:paraId="38000000">
      <w:pPr>
        <w:ind/>
        <w:jc w:val="both"/>
        <w:rPr>
          <w:sz w:val="28"/>
        </w:rPr>
      </w:pPr>
    </w:p>
    <w:p w14:paraId="39000000">
      <w:pPr>
        <w:tabs>
          <w:tab w:leader="none" w:pos="6660" w:val="left"/>
        </w:tabs>
        <w:ind/>
        <w:jc w:val="both"/>
        <w:rPr>
          <w:sz w:val="28"/>
        </w:rPr>
      </w:pPr>
      <w:r>
        <w:rPr>
          <w:sz w:val="28"/>
        </w:rPr>
        <w:t xml:space="preserve">Представитель Продавца </w:t>
      </w:r>
      <w:r>
        <w:rPr>
          <w:sz w:val="28"/>
        </w:rPr>
        <w:t>__________________________</w:t>
      </w:r>
      <w:r>
        <w:rPr>
          <w:sz w:val="28"/>
        </w:rPr>
        <w:t>(</w:t>
      </w:r>
      <w:r>
        <w:rPr>
          <w:sz w:val="28"/>
        </w:rPr>
        <w:t>___________________)</w:t>
      </w:r>
    </w:p>
    <w:p w14:paraId="3A000000">
      <w:pPr>
        <w:tabs>
          <w:tab w:leader="none" w:pos="6660" w:val="left"/>
        </w:tabs>
        <w:ind/>
        <w:jc w:val="both"/>
        <w:rPr>
          <w:sz w:val="28"/>
        </w:rPr>
      </w:pPr>
    </w:p>
    <w:p w14:paraId="3B000000">
      <w:pPr>
        <w:tabs>
          <w:tab w:leader="none" w:pos="6660" w:val="left"/>
        </w:tabs>
        <w:ind/>
        <w:jc w:val="both"/>
        <w:rPr>
          <w:sz w:val="28"/>
        </w:rPr>
      </w:pPr>
    </w:p>
    <w:p w14:paraId="3C000000">
      <w:pPr>
        <w:tabs>
          <w:tab w:leader="none" w:pos="6660" w:val="left"/>
        </w:tabs>
        <w:ind/>
        <w:jc w:val="both"/>
        <w:rPr>
          <w:sz w:val="28"/>
        </w:rPr>
      </w:pPr>
    </w:p>
    <w:p w14:paraId="3D000000">
      <w:pPr>
        <w:tabs>
          <w:tab w:leader="none" w:pos="6660" w:val="left"/>
        </w:tabs>
        <w:ind/>
        <w:jc w:val="both"/>
        <w:rPr>
          <w:sz w:val="28"/>
        </w:rPr>
      </w:pPr>
    </w:p>
    <w:p w14:paraId="3E000000">
      <w:pPr>
        <w:tabs>
          <w:tab w:leader="none" w:pos="6660" w:val="left"/>
        </w:tabs>
        <w:ind/>
        <w:jc w:val="both"/>
        <w:rPr>
          <w:sz w:val="28"/>
        </w:rPr>
      </w:pPr>
    </w:p>
    <w:p w14:paraId="3F000000">
      <w:pPr>
        <w:tabs>
          <w:tab w:leader="none" w:pos="6660" w:val="left"/>
        </w:tabs>
        <w:ind/>
        <w:jc w:val="both"/>
        <w:rPr>
          <w:sz w:val="28"/>
        </w:rPr>
      </w:pPr>
    </w:p>
    <w:p w14:paraId="40000000">
      <w:pPr>
        <w:tabs>
          <w:tab w:leader="none" w:pos="6660" w:val="left"/>
        </w:tabs>
        <w:ind/>
        <w:jc w:val="both"/>
        <w:rPr>
          <w:sz w:val="28"/>
        </w:rPr>
      </w:pPr>
    </w:p>
    <w:p w14:paraId="41000000"/>
    <w:sectPr>
      <w:pgSz w:h="16838" w:orient="portrait" w:w="11906"/>
      <w:pgMar w:bottom="567" w:footer="709" w:gutter="0" w:header="709" w:left="1134" w:right="567" w:top="567"/>
    </w:sectPr>
  </w:body>
</w:document>
</file>

<file path=word/endnotes.xml><?xml version="1.0" encoding="utf-8"?>
<w:end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<w:endnote w:id="-1" w:type="separator">
    <w:p>
      <w:r>
        <w:separator/>
      </w:r>
    </w:p>
  </w:endnote>
  <w:endnote w:id="0" w:type="continuationSeparator">
    <w:p>
      <w:r>
        <w:continuationSeparator/>
      </w:r>
    </w:p>
  </w:endnote>
</w:endnotes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notes.xml><?xml version="1.0" encoding="utf-8"?>
<w:foot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1">
    <w:p w14:paraId="42000000">
      <w:pPr>
        <w:pStyle w:val="Style_14"/>
      </w:pPr>
      <w:r>
        <w:rPr>
          <w:vertAlign w:val="superscript"/>
        </w:rPr>
        <w:footnoteRef/>
      </w:r>
      <w:r>
        <w:t xml:space="preserve"> Данная форма заполняется в двух экземплярах, каждый из которых распечатывается на одном листе с двух сторон</w:t>
      </w:r>
    </w:p>
    <w:p w14:paraId="43000000">
      <w:pPr>
        <w:pStyle w:val="Style_14"/>
      </w:pPr>
    </w:p>
  </w:footnote>
</w:footnote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3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3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3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3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basedOn w:val="Style_3"/>
    <w:link w:val="Style_14_ch"/>
    <w:rPr>
      <w:sz w:val="20"/>
    </w:rPr>
  </w:style>
  <w:style w:styleId="Style_14_ch" w:type="character">
    <w:name w:val="Footnote"/>
    <w:basedOn w:val="Style_3_ch"/>
    <w:link w:val="Style_14"/>
    <w:rPr>
      <w:sz w:val="20"/>
    </w:rPr>
  </w:style>
  <w:style w:styleId="Style_15" w:type="paragraph">
    <w:name w:val="toc 1"/>
    <w:next w:val="Style_3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3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3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3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" w:type="paragraph">
    <w:name w:val="footnote reference"/>
    <w:link w:val="Style_2_ch"/>
    <w:rPr>
      <w:vertAlign w:val="superscript"/>
    </w:rPr>
  </w:style>
  <w:style w:styleId="Style_2_ch" w:type="character">
    <w:name w:val="footnote reference"/>
    <w:link w:val="Style_2"/>
    <w:rPr>
      <w:vertAlign w:val="superscript"/>
    </w:rPr>
  </w:style>
  <w:style w:styleId="Style_20" w:type="paragraph">
    <w:name w:val="Subtitle"/>
    <w:next w:val="Style_3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3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3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3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styleId="Style_24" w:type="paragraph">
    <w:name w:val=" Знак Знак Знак Знак Знак Знак Знак Знак"/>
    <w:basedOn w:val="Style_3"/>
    <w:link w:val="Style_24_ch"/>
    <w:pPr>
      <w:spacing w:after="160" w:line="240" w:lineRule="exact"/>
      <w:ind/>
    </w:pPr>
  </w:style>
  <w:style w:styleId="Style_24_ch" w:type="character">
    <w:name w:val=" Знак Знак Знак Знак Знак Знак Знак Знак"/>
    <w:basedOn w:val="Style_3_ch"/>
    <w:link w:val="Style_24"/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8" Target="endnotes.xml" Type="http://schemas.openxmlformats.org/officeDocument/2006/relationships/endnotes"/>
  <Relationship Id="rId4" Target="stylesWithEffects.xml" Type="http://schemas.microsoft.com/office/2007/relationships/stylesWithEffects"/>
  <Relationship Id="rId7" Target="footnotes.xml" Type="http://schemas.openxmlformats.org/officeDocument/2006/relationships/footnote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2024-03-28T05:32:06Z</dcterms:modified>
</cp:coreProperties>
</file>